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240" w:lineRule="auto"/>
        <w:ind w:left="0" w:right="0" w:firstLine="0"/>
        <w:jc w:val="right"/>
        <w:rPr>
          <w:rFonts w:ascii="Calibri" w:hAnsi="Calibri" w:cs="Calibri"/>
          <w:b w:val="0"/>
          <w:i w:val="0"/>
          <w:caps w:val="0"/>
          <w:color w:val="000000" w:themeColor="text1"/>
          <w:spacing w:val="0"/>
          <w:sz w:val="28"/>
          <w:szCs w:val="28"/>
          <w14:textFill>
            <w14:solidFill>
              <w14:schemeClr w14:val="tx1"/>
            </w14:solidFill>
          </w14:textFill>
        </w:rPr>
      </w:pPr>
      <w:r>
        <w:rPr>
          <w:rFonts w:hint="eastAsia" w:ascii="宋体" w:hAnsi="宋体" w:eastAsia="宋体" w:cs="宋体"/>
          <w:b w:val="0"/>
          <w:i w:val="0"/>
          <w:caps w:val="0"/>
          <w:color w:val="000000" w:themeColor="text1"/>
          <w:spacing w:val="0"/>
          <w:kern w:val="0"/>
          <w:sz w:val="28"/>
          <w:szCs w:val="28"/>
          <w:shd w:val="clear" w:fill="FFFFFF"/>
          <w:lang w:val="en-US" w:eastAsia="zh-CN" w:bidi="ar"/>
          <w14:textFill>
            <w14:solidFill>
              <w14:schemeClr w14:val="tx1"/>
            </w14:solidFill>
          </w14:textFill>
        </w:rPr>
        <w:t>冀教政体函[2017]22号</w:t>
      </w:r>
    </w:p>
    <w:p>
      <w:pPr>
        <w:keepNext w:val="0"/>
        <w:keepLines w:val="0"/>
        <w:widowControl/>
        <w:suppressLineNumbers w:val="0"/>
        <w:shd w:val="clear" w:fill="FFFFFF"/>
        <w:spacing w:before="0" w:beforeAutospacing="0" w:after="0" w:afterAutospacing="0" w:line="240" w:lineRule="auto"/>
        <w:ind w:left="0" w:right="0" w:firstLine="0"/>
        <w:jc w:val="center"/>
        <w:rPr>
          <w:rFonts w:hint="eastAsia" w:ascii="宋体" w:hAnsi="宋体" w:eastAsia="宋体" w:cs="宋体"/>
          <w:b w:val="0"/>
          <w:i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Style w:val="4"/>
          <w:rFonts w:hint="eastAsia" w:ascii="宋体-PUA" w:hAnsi="宋体-PUA" w:eastAsia="宋体-PUA" w:cs="宋体-PUA"/>
          <w:i w:val="0"/>
          <w:caps w:val="0"/>
          <w:color w:val="000000" w:themeColor="text1"/>
          <w:spacing w:val="0"/>
          <w:kern w:val="0"/>
          <w:sz w:val="36"/>
          <w:szCs w:val="36"/>
          <w:u w:val="none"/>
          <w:lang w:val="en-US" w:eastAsia="zh-CN" w:bidi="ar"/>
          <w14:textFill>
            <w14:solidFill>
              <w14:schemeClr w14:val="tx1"/>
            </w14:solidFill>
          </w14:textFill>
        </w:rPr>
      </w:pPr>
      <w:r>
        <w:rPr>
          <w:rStyle w:val="4"/>
          <w:rFonts w:hint="eastAsia" w:ascii="宋体-PUA" w:hAnsi="宋体-PUA" w:eastAsia="宋体-PUA" w:cs="宋体-PUA"/>
          <w:i w:val="0"/>
          <w:caps w:val="0"/>
          <w:color w:val="000000" w:themeColor="text1"/>
          <w:spacing w:val="0"/>
          <w:kern w:val="0"/>
          <w:sz w:val="36"/>
          <w:szCs w:val="36"/>
          <w:u w:val="none"/>
          <w:lang w:val="en-US" w:eastAsia="zh-CN" w:bidi="ar"/>
          <w14:textFill>
            <w14:solidFill>
              <w14:schemeClr w14:val="tx1"/>
            </w14:solidFill>
          </w14:textFill>
        </w:rPr>
        <w:t>河北省教育厅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Style w:val="4"/>
          <w:rFonts w:hint="eastAsia" w:ascii="宋体-PUA" w:hAnsi="宋体-PUA" w:eastAsia="宋体-PUA" w:cs="宋体-PUA"/>
          <w:i w:val="0"/>
          <w:caps w:val="0"/>
          <w:color w:val="000000" w:themeColor="text1"/>
          <w:spacing w:val="0"/>
          <w:kern w:val="0"/>
          <w:sz w:val="36"/>
          <w:szCs w:val="36"/>
          <w:u w:val="none"/>
          <w:lang w:val="en-US" w:eastAsia="zh-CN" w:bidi="ar"/>
          <w14:textFill>
            <w14:solidFill>
              <w14:schemeClr w14:val="tx1"/>
            </w14:solidFill>
          </w14:textFill>
        </w:rPr>
      </w:pPr>
      <w:r>
        <w:rPr>
          <w:rStyle w:val="4"/>
          <w:rFonts w:hint="eastAsia" w:ascii="宋体-PUA" w:hAnsi="宋体-PUA" w:eastAsia="宋体-PUA" w:cs="宋体-PUA"/>
          <w:i w:val="0"/>
          <w:caps w:val="0"/>
          <w:color w:val="000000" w:themeColor="text1"/>
          <w:spacing w:val="0"/>
          <w:kern w:val="0"/>
          <w:sz w:val="36"/>
          <w:szCs w:val="36"/>
          <w:u w:val="none"/>
          <w:lang w:val="en-US" w:eastAsia="zh-CN" w:bidi="ar"/>
          <w14:textFill>
            <w14:solidFill>
              <w14:schemeClr w14:val="tx1"/>
            </w14:solidFill>
          </w14:textFill>
        </w:rPr>
        <w:t>关于认真组织参加“美丽河北”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Style w:val="4"/>
          <w:rFonts w:hint="eastAsia" w:ascii="宋体-PUA" w:hAnsi="宋体-PUA" w:eastAsia="宋体-PUA" w:cs="宋体-PUA"/>
          <w:i w:val="0"/>
          <w:caps w:val="0"/>
          <w:color w:val="000000" w:themeColor="text1"/>
          <w:spacing w:val="0"/>
          <w:kern w:val="0"/>
          <w:sz w:val="36"/>
          <w:szCs w:val="36"/>
          <w:u w:val="none"/>
          <w:lang w:val="en-US" w:eastAsia="zh-CN" w:bidi="ar"/>
          <w14:textFill>
            <w14:solidFill>
              <w14:schemeClr w14:val="tx1"/>
            </w14:solidFill>
          </w14:textFill>
        </w:rPr>
      </w:pPr>
      <w:r>
        <w:rPr>
          <w:rStyle w:val="4"/>
          <w:rFonts w:hint="eastAsia" w:ascii="宋体-PUA" w:hAnsi="宋体-PUA" w:eastAsia="宋体-PUA" w:cs="宋体-PUA"/>
          <w:i w:val="0"/>
          <w:caps w:val="0"/>
          <w:color w:val="000000" w:themeColor="text1"/>
          <w:spacing w:val="0"/>
          <w:kern w:val="0"/>
          <w:sz w:val="36"/>
          <w:szCs w:val="36"/>
          <w:u w:val="none"/>
          <w:lang w:val="en-US" w:eastAsia="zh-CN" w:bidi="ar"/>
          <w14:textFill>
            <w14:solidFill>
              <w14:schemeClr w14:val="tx1"/>
            </w14:solidFill>
          </w14:textFill>
        </w:rPr>
        <w:t>微动漫形象征集活动的通知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eastAsia" w:ascii="宋体" w:hAnsi="宋体" w:eastAsia="宋体" w:cs="宋体"/>
          <w:b w:val="0"/>
          <w:i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各高等学校：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为展示美丽河北建设新成就，树立美丽河北新形象，广泛传播河北的生态之美、人文之美、发展之美，省委宣传部、省人民政府新闻办公室决定举办“美丽河北”微动漫形象网络征集、评选活动，省教育厅、省文化厅、省文联等单位协办，征集以河北谐音命名的两个异性动漫形象“和和”“贝贝”。评选出的动漫形象将用于我省各类宣传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请各高等学校，特别是设有美术、设计、动漫专业的学校认真组织广大师生积极参加征集活动，相关要求请登录“长城网”网站，点击“美丽河北”微动漫形象征集专栏查看。各高校参加征集活动的作品请分别于3月17日、4月10日和5月2日等三个阶段报送至邮箱：</w:t>
      </w:r>
      <w:r>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fldChar w:fldCharType="begin"/>
      </w:r>
      <w:r>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instrText xml:space="preserve"> HYPERLINK "mailto:ccwxmtzx@163.com" \t "http://preview.mail.163.com/_blank" </w:instrText>
      </w:r>
      <w:r>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fldChar w:fldCharType="separate"/>
      </w:r>
      <w:r>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ccwxmtzx@163.com</w:t>
      </w:r>
      <w:r>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fldChar w:fldCharType="end"/>
      </w: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，以便省内媒体进行宣传展示。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本次活动结束后，将由省政府新闻办公室、省教育厅等部门共同根据各校投稿数量和质量评选出活动优秀组织奖，并颁发证书。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联系人：省政府新闻办，杨冠宇，电话：0311-87907003</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default" w:ascii="Calibri" w:hAnsi="Calibri" w:cs="Calibri"/>
          <w:b w:val="0"/>
          <w:i w:val="0"/>
          <w:caps w:val="0"/>
          <w:color w:val="000000" w:themeColor="text1"/>
          <w:spacing w:val="0"/>
          <w:sz w:val="21"/>
          <w:szCs w:val="21"/>
          <w14:textFill>
            <w14:solidFill>
              <w14:schemeClr w14:val="tx1"/>
            </w14:solidFill>
          </w14:textFill>
        </w:rPr>
      </w:pPr>
      <w:r>
        <w:rPr>
          <w:rFonts w:hint="default"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省教育厅，崔玉伟，电话：0311-66005200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0"/>
        <w:jc w:val="both"/>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4"/>
          <w:rFonts w:hint="eastAsia" w:ascii="宋体-PUA" w:hAnsi="宋体-PUA" w:eastAsia="宋体-PUA" w:cs="宋体-PUA"/>
          <w:b/>
          <w:i w:val="0"/>
          <w:caps w:val="0"/>
          <w:color w:val="000000" w:themeColor="text1"/>
          <w:spacing w:val="0"/>
          <w:sz w:val="36"/>
          <w:szCs w:val="36"/>
          <w:u w:val="none"/>
          <w14:textFill>
            <w14:solidFill>
              <w14:schemeClr w14:val="tx1"/>
            </w14:solidFill>
          </w14:textFill>
        </w:rPr>
      </w:pPr>
      <w:r>
        <w:rPr>
          <w:rStyle w:val="4"/>
          <w:rFonts w:hint="eastAsia" w:ascii="宋体-PUA" w:hAnsi="宋体-PUA" w:eastAsia="宋体-PUA" w:cs="宋体-PUA"/>
          <w:b/>
          <w:i w:val="0"/>
          <w:caps w:val="0"/>
          <w:color w:val="000000" w:themeColor="text1"/>
          <w:spacing w:val="0"/>
          <w:sz w:val="36"/>
          <w:szCs w:val="36"/>
          <w:u w:val="none"/>
          <w14:textFill>
            <w14:solidFill>
              <w14:schemeClr w14:val="tx1"/>
            </w14:solidFill>
          </w14:textFill>
        </w:rPr>
        <w:t>“和和”“贝贝”微动漫形象征集活动启事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4"/>
          <w:rFonts w:hint="eastAsia" w:ascii="仿宋_GB2312" w:hAnsi="仿宋_GB2312" w:eastAsia="仿宋_GB2312" w:cs="仿宋_GB2312"/>
          <w:b/>
          <w:i w:val="0"/>
          <w:caps w:val="0"/>
          <w:color w:val="000000" w:themeColor="text1"/>
          <w:spacing w:val="0"/>
          <w:sz w:val="36"/>
          <w:szCs w:val="36"/>
          <w:u w:val="non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t>主办单位：</w:t>
      </w:r>
      <w:r>
        <w:rPr>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t>中共河北省委宣传部、河北省人民政府新闻办公室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t>协办单位：</w:t>
      </w:r>
      <w:r>
        <w:rPr>
          <w:rFonts w:hint="eastAsia" w:ascii="仿宋_GB2312" w:hAnsi="仿宋_GB2312" w:eastAsia="仿宋_GB2312" w:cs="仿宋_GB2312"/>
          <w:b/>
          <w:bCs w:val="0"/>
          <w:i w:val="0"/>
          <w:caps w:val="0"/>
          <w:color w:val="000000" w:themeColor="text1"/>
          <w:spacing w:val="0"/>
          <w:sz w:val="32"/>
          <w:szCs w:val="32"/>
          <w:u w:val="none"/>
          <w14:textFill>
            <w14:solidFill>
              <w14:schemeClr w14:val="tx1"/>
            </w14:solidFill>
          </w14:textFill>
        </w:rPr>
        <w:t>省教育厅、省文化厅、省文联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为全面展示河北良好形象，进一步提升河北美誉度，助力经济强省、美丽河北建设，用生动鲜活、直观通俗的动漫形象对外传递河北的生态之美、人文之美、发展之美，现面向社会征集代表河北形象的微动漫人物设计，内容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　一、作品要求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1.作品设计方向为两个异性卡通形象，以河北的谐音“和和”“贝贝”命名。</w:t>
      </w:r>
      <w:r>
        <w:rPr>
          <w:rFonts w:hint="eastAsia" w:ascii="仿宋_GB2312" w:hAnsi="仿宋_GB2312" w:eastAsia="仿宋_GB2312" w:cs="仿宋_GB2312"/>
          <w:b/>
          <w:bCs/>
          <w:i w:val="0"/>
          <w:caps w:val="0"/>
          <w:color w:val="000000" w:themeColor="text1"/>
          <w:spacing w:val="0"/>
          <w:sz w:val="32"/>
          <w:szCs w:val="32"/>
          <w:u w:val="none"/>
          <w14:textFill>
            <w14:solidFill>
              <w14:schemeClr w14:val="tx1"/>
            </w14:solidFill>
          </w14:textFill>
        </w:rPr>
        <w:t>“和”寓意和谐、平和、海纳百川，“贝”寓意物产丰饶、蕴涵宝贝、充满希望。“和和”“贝贝”命名能较好地反映“美丽河北”的丰富内涵。</w:t>
      </w: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作品要具有动态延展性，便于后期动画制作。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2.形象要求具有河北特色，生动活泼，时代气息强，具有大众亲和力，富有艺术感染力。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3.参选作品需存储为JPG格式，图片分辨率应在300dpi以上，长和宽不小于1200像素。投稿者需注明姓名+联系方式+三百字以内设计说明，阐述设计思路、理念和标志的含义。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　二、征集时间和投稿方式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1.投稿时间。2017年2月21日至2017年5月20日。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2.投稿地址。投稿一律只接受电子文件形式，请发至邮箱ccwxmtzx@163.com，在邮件主题栏注明“征集活动”字样，不限投稿次数，也不限每次投稿的作品数。咨询电话：0311—68127836。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3.作品无论采用与否，恕不退还，请作者自留底稿。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三、评定方式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作品评定采用有奖网络评选及专家评审相结合的方式。投稿时间截止后，在长城网开设投票专区，于2017年5月21日-6月10日接受社会各界网络投票，同时邀请有关专家成立评审委员会对所有投稿作品进行综合评定，结合网络投票和评审委员会意见，最终确定获奖作品。评选结果将于2017年6月底前在省各大媒体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四、奖项设置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1.作品奖：设一等奖一名，奖金80000元;二等奖2名，每人奖金20000元;三等奖4名，每人奖金5000元;优秀奖50名，每人奖金1000元。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2.观众参与奖：从为作品投票的网民中随机抽取200名，每人奖话费100元。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3.所有奖金均以人民币支付，个人所得税由获奖者自付。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4.所有获奖作品由河北省人民政府新闻办公室颁发荣誉证书。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w:t>
      </w:r>
      <w:r>
        <w:rPr>
          <w:rStyle w:val="4"/>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五、法律事项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1.作品必须是本人对原创作品享有著作权，并且不得侵犯他人知识产权。如因涉及抄袭、借用等侵权行为产生的一切责任均由投稿者承担，征集单位不承担任何责任。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2.作品自提交之日起，即一次性、排他地将本人对投稿方案所拥有的著作权以及相关的一切衍生权利，全部无偿转让给河北省人民政府新闻办公室。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u w:val="none"/>
          <w14:textFill>
            <w14:solidFill>
              <w14:schemeClr w14:val="tx1"/>
            </w14:solidFill>
          </w14:textFill>
        </w:rPr>
        <w:t>　　3.河北省人民政府新闻办公室对本征稿启事各条目均保留最终解释权。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宋体-PUA">
    <w:panose1 w:val="02010600030101010101"/>
    <w:charset w:val="86"/>
    <w:family w:val="auto"/>
    <w:pitch w:val="default"/>
    <w:sig w:usb0="00000000" w:usb1="1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85B4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2017-03-09T09:52:57Z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